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Look w:val="04A0" w:firstRow="1" w:lastRow="0" w:firstColumn="1" w:lastColumn="0" w:noHBand="0" w:noVBand="1"/>
      </w:tblPr>
      <w:tblGrid>
        <w:gridCol w:w="4952"/>
        <w:gridCol w:w="4953"/>
      </w:tblGrid>
      <w:tr w:rsidR="002F3A0F" w:rsidRPr="009609DF" w14:paraId="5ABB19F2" w14:textId="77777777" w:rsidTr="00572B2D">
        <w:tc>
          <w:tcPr>
            <w:tcW w:w="4952" w:type="dxa"/>
          </w:tcPr>
          <w:p w14:paraId="4D1FB559" w14:textId="77777777" w:rsidR="002F3A0F" w:rsidRPr="000B3AE5" w:rsidRDefault="002F3A0F" w:rsidP="00572B2D">
            <w:pPr>
              <w:spacing w:before="80" w:after="80" w:line="260" w:lineRule="exact"/>
              <w:jc w:val="center"/>
              <w:rPr>
                <w:rFonts w:ascii="Times New Roman" w:hAnsi="Times New Roman" w:cs="Times New Roman"/>
                <w:b/>
                <w:sz w:val="20"/>
                <w:szCs w:val="20"/>
                <w:u w:val="single"/>
              </w:rPr>
            </w:pPr>
            <w:r w:rsidRPr="000B3AE5">
              <w:rPr>
                <w:rFonts w:ascii="Times New Roman" w:hAnsi="Times New Roman" w:cs="Times New Roman"/>
                <w:b/>
                <w:sz w:val="20"/>
                <w:szCs w:val="20"/>
                <w:u w:val="single"/>
              </w:rPr>
              <w:t>Anti-Bribery and Corruption Policy</w:t>
            </w:r>
          </w:p>
        </w:tc>
        <w:tc>
          <w:tcPr>
            <w:tcW w:w="4953" w:type="dxa"/>
          </w:tcPr>
          <w:p w14:paraId="547D01CE" w14:textId="77777777" w:rsidR="002F3A0F" w:rsidRPr="000B3AE5" w:rsidRDefault="002F3A0F" w:rsidP="00572B2D">
            <w:pPr>
              <w:spacing w:before="80" w:after="80" w:line="260" w:lineRule="exact"/>
              <w:ind w:right="-1"/>
              <w:jc w:val="center"/>
              <w:rPr>
                <w:rFonts w:ascii="Times New Roman" w:hAnsi="Times New Roman" w:cs="Times New Roman"/>
                <w:b/>
                <w:sz w:val="20"/>
                <w:szCs w:val="20"/>
                <w:u w:val="single"/>
                <w:lang w:val="ru-RU"/>
              </w:rPr>
            </w:pPr>
            <w:r w:rsidRPr="000B3AE5">
              <w:rPr>
                <w:rFonts w:ascii="Times New Roman" w:hAnsi="Times New Roman" w:cs="Times New Roman"/>
                <w:b/>
                <w:sz w:val="20"/>
                <w:szCs w:val="20"/>
                <w:u w:val="single"/>
                <w:lang w:val="ru-RU"/>
              </w:rPr>
              <w:t xml:space="preserve">Политика </w:t>
            </w:r>
            <w:r>
              <w:rPr>
                <w:rFonts w:ascii="Times New Roman" w:hAnsi="Times New Roman" w:cs="Times New Roman"/>
                <w:b/>
                <w:sz w:val="20"/>
                <w:szCs w:val="20"/>
                <w:u w:val="single"/>
                <w:lang w:val="ru-RU"/>
              </w:rPr>
              <w:t>по борьбе</w:t>
            </w:r>
            <w:r w:rsidRPr="000B3AE5">
              <w:rPr>
                <w:rFonts w:ascii="Times New Roman" w:hAnsi="Times New Roman" w:cs="Times New Roman"/>
                <w:b/>
                <w:sz w:val="20"/>
                <w:szCs w:val="20"/>
                <w:u w:val="single"/>
                <w:lang w:val="ru-RU"/>
              </w:rPr>
              <w:t xml:space="preserve"> с взяточничеством и коррупцией</w:t>
            </w:r>
          </w:p>
        </w:tc>
      </w:tr>
      <w:tr w:rsidR="002F3A0F" w:rsidRPr="009609DF" w14:paraId="7A58AB89" w14:textId="77777777" w:rsidTr="00572B2D">
        <w:tc>
          <w:tcPr>
            <w:tcW w:w="4952" w:type="dxa"/>
          </w:tcPr>
          <w:p w14:paraId="56DF3826" w14:textId="77777777" w:rsidR="002F3A0F" w:rsidRPr="000B3AE5" w:rsidRDefault="002F3A0F" w:rsidP="002F3A0F">
            <w:pPr>
              <w:pStyle w:val="ab"/>
              <w:numPr>
                <w:ilvl w:val="0"/>
                <w:numId w:val="1"/>
              </w:numPr>
              <w:spacing w:before="80" w:after="80" w:line="260" w:lineRule="exact"/>
              <w:contextualSpacing w:val="0"/>
              <w:rPr>
                <w:rFonts w:ascii="Times New Roman" w:hAnsi="Times New Roman" w:cs="Times New Roman"/>
                <w:sz w:val="20"/>
                <w:szCs w:val="20"/>
              </w:rPr>
            </w:pPr>
            <w:r w:rsidRPr="000B3AE5">
              <w:rPr>
                <w:rFonts w:ascii="Times New Roman" w:hAnsi="Times New Roman" w:cs="Times New Roman"/>
                <w:b/>
                <w:sz w:val="20"/>
                <w:szCs w:val="20"/>
                <w:u w:val="single"/>
              </w:rPr>
              <w:t>Anti-Bribery and Corruption</w:t>
            </w:r>
          </w:p>
        </w:tc>
        <w:tc>
          <w:tcPr>
            <w:tcW w:w="4953" w:type="dxa"/>
          </w:tcPr>
          <w:p w14:paraId="4C79DE79" w14:textId="77777777" w:rsidR="002F3A0F" w:rsidRPr="000B3AE5" w:rsidRDefault="002F3A0F" w:rsidP="002F3A0F">
            <w:pPr>
              <w:pStyle w:val="ab"/>
              <w:numPr>
                <w:ilvl w:val="0"/>
                <w:numId w:val="4"/>
              </w:numPr>
              <w:spacing w:before="80" w:after="80" w:line="260" w:lineRule="exact"/>
              <w:ind w:left="718" w:right="-1" w:hanging="358"/>
              <w:contextualSpacing w:val="0"/>
              <w:rPr>
                <w:rFonts w:ascii="Times New Roman" w:hAnsi="Times New Roman" w:cs="Times New Roman"/>
                <w:b/>
                <w:sz w:val="20"/>
                <w:szCs w:val="20"/>
                <w:u w:val="single"/>
                <w:lang w:val="ru-RU"/>
              </w:rPr>
            </w:pPr>
            <w:r w:rsidRPr="000B3AE5">
              <w:rPr>
                <w:rFonts w:ascii="Times New Roman" w:hAnsi="Times New Roman" w:cs="Times New Roman"/>
                <w:b/>
                <w:sz w:val="20"/>
                <w:szCs w:val="20"/>
                <w:u w:val="single"/>
                <w:lang w:val="ru-RU"/>
              </w:rPr>
              <w:t>Борьба с коррупцией и взяточничеством</w:t>
            </w:r>
          </w:p>
        </w:tc>
      </w:tr>
      <w:tr w:rsidR="002F3A0F" w:rsidRPr="009609DF" w14:paraId="10347EF3" w14:textId="77777777" w:rsidTr="00572B2D">
        <w:tc>
          <w:tcPr>
            <w:tcW w:w="4952" w:type="dxa"/>
          </w:tcPr>
          <w:p w14:paraId="36B98FF8" w14:textId="77777777" w:rsidR="002F3A0F" w:rsidRPr="009609DF" w:rsidRDefault="002F3A0F" w:rsidP="00572B2D">
            <w:pPr>
              <w:spacing w:before="80" w:after="80" w:line="260" w:lineRule="exact"/>
              <w:jc w:val="both"/>
              <w:rPr>
                <w:rFonts w:ascii="Times New Roman" w:hAnsi="Times New Roman" w:cs="Times New Roman"/>
                <w:sz w:val="20"/>
                <w:szCs w:val="20"/>
              </w:rPr>
            </w:pPr>
            <w:r w:rsidRPr="009609DF">
              <w:rPr>
                <w:rFonts w:ascii="Times New Roman" w:hAnsi="Times New Roman" w:cs="Times New Roman"/>
                <w:sz w:val="20"/>
                <w:szCs w:val="20"/>
              </w:rPr>
              <w:t>[</w:t>
            </w:r>
            <w:proofErr w:type="spellStart"/>
            <w:r w:rsidRPr="009609DF">
              <w:rPr>
                <w:rFonts w:ascii="Times New Roman" w:hAnsi="Times New Roman" w:cs="Times New Roman"/>
                <w:sz w:val="20"/>
                <w:szCs w:val="20"/>
              </w:rPr>
              <w:t>MedFarmInfo</w:t>
            </w:r>
            <w:proofErr w:type="spellEnd"/>
            <w:r w:rsidRPr="009609DF">
              <w:rPr>
                <w:rFonts w:ascii="Times New Roman" w:hAnsi="Times New Roman" w:cs="Times New Roman"/>
                <w:sz w:val="20"/>
                <w:szCs w:val="20"/>
              </w:rPr>
              <w:t>] (hereinafter, the “Company”) is committed to conducting business ethically and in accordance with applicable laws of The Russian Federation. The Company prohibits its employees, agents, subcontractors or any other party conducting business on behalf of the Company</w:t>
            </w:r>
          </w:p>
        </w:tc>
        <w:tc>
          <w:tcPr>
            <w:tcW w:w="4953" w:type="dxa"/>
          </w:tcPr>
          <w:p w14:paraId="07D4F7D6" w14:textId="77777777" w:rsidR="002F3A0F" w:rsidRPr="009609DF" w:rsidRDefault="002F3A0F" w:rsidP="00572B2D">
            <w:pPr>
              <w:spacing w:before="80" w:after="80" w:line="260" w:lineRule="exact"/>
              <w:ind w:right="-1"/>
              <w:jc w:val="both"/>
              <w:rPr>
                <w:rFonts w:ascii="Times New Roman" w:hAnsi="Times New Roman" w:cs="Times New Roman"/>
                <w:sz w:val="20"/>
                <w:szCs w:val="20"/>
                <w:lang w:val="ru-RU"/>
              </w:rPr>
            </w:pPr>
            <w:r w:rsidRPr="009609DF">
              <w:rPr>
                <w:rFonts w:ascii="Times New Roman" w:hAnsi="Times New Roman" w:cs="Times New Roman"/>
                <w:sz w:val="20"/>
                <w:szCs w:val="20"/>
                <w:lang w:val="ru-RU"/>
              </w:rPr>
              <w:t>[</w:t>
            </w:r>
            <w:proofErr w:type="spellStart"/>
            <w:r w:rsidRPr="009609DF">
              <w:rPr>
                <w:rFonts w:ascii="Times New Roman" w:hAnsi="Times New Roman" w:cs="Times New Roman"/>
                <w:sz w:val="20"/>
                <w:szCs w:val="20"/>
                <w:lang w:val="ru-RU"/>
              </w:rPr>
              <w:t>МедФармИнфо</w:t>
            </w:r>
            <w:proofErr w:type="spellEnd"/>
            <w:r w:rsidRPr="009609DF">
              <w:rPr>
                <w:rFonts w:ascii="Times New Roman" w:hAnsi="Times New Roman" w:cs="Times New Roman"/>
                <w:sz w:val="20"/>
                <w:szCs w:val="20"/>
                <w:lang w:val="ru-RU"/>
              </w:rPr>
              <w:t>] (далее – «Компания») обязуется вести бизнес в соответствии с деловой этикой и с законодательством Российской Федерации. Компания запрещает своим сотрудникам, агентам, субподрядчикам или любой другой стороне, ведущей бизнес от имени Компании</w:t>
            </w:r>
          </w:p>
        </w:tc>
      </w:tr>
      <w:tr w:rsidR="002F3A0F" w:rsidRPr="009609DF" w14:paraId="4176293F" w14:textId="77777777" w:rsidTr="00572B2D">
        <w:tc>
          <w:tcPr>
            <w:tcW w:w="4952" w:type="dxa"/>
          </w:tcPr>
          <w:p w14:paraId="48F6D837" w14:textId="77777777" w:rsidR="002F3A0F" w:rsidRPr="000B3AE5" w:rsidRDefault="002F3A0F" w:rsidP="002F3A0F">
            <w:pPr>
              <w:pStyle w:val="ab"/>
              <w:numPr>
                <w:ilvl w:val="0"/>
                <w:numId w:val="2"/>
              </w:numPr>
              <w:spacing w:before="80" w:after="80" w:line="260" w:lineRule="exact"/>
              <w:contextualSpacing w:val="0"/>
              <w:jc w:val="both"/>
              <w:rPr>
                <w:rFonts w:ascii="Times New Roman" w:hAnsi="Times New Roman" w:cs="Times New Roman"/>
                <w:sz w:val="20"/>
                <w:szCs w:val="20"/>
              </w:rPr>
            </w:pPr>
            <w:r w:rsidRPr="000B3AE5">
              <w:rPr>
                <w:rFonts w:ascii="Times New Roman" w:hAnsi="Times New Roman" w:cs="Times New Roman"/>
                <w:sz w:val="20"/>
                <w:szCs w:val="20"/>
              </w:rPr>
              <w:t>from offering, authorizing, promising, paying or giving anything of value;</w:t>
            </w:r>
          </w:p>
        </w:tc>
        <w:tc>
          <w:tcPr>
            <w:tcW w:w="4953" w:type="dxa"/>
          </w:tcPr>
          <w:p w14:paraId="40D188B4" w14:textId="77777777" w:rsidR="002F3A0F" w:rsidRPr="000B3AE5" w:rsidRDefault="002F3A0F" w:rsidP="002F3A0F">
            <w:pPr>
              <w:pStyle w:val="ab"/>
              <w:numPr>
                <w:ilvl w:val="0"/>
                <w:numId w:val="5"/>
              </w:numPr>
              <w:spacing w:before="80" w:after="80" w:line="260" w:lineRule="exact"/>
              <w:ind w:right="-1"/>
              <w:contextualSpacing w:val="0"/>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предлагать, санкционировать, обещать, оплачивать или предоставлять что-либо</w:t>
            </w:r>
            <w:r>
              <w:rPr>
                <w:rFonts w:ascii="Times New Roman" w:hAnsi="Times New Roman" w:cs="Times New Roman"/>
                <w:sz w:val="20"/>
                <w:szCs w:val="20"/>
                <w:lang w:val="ru-RU"/>
              </w:rPr>
              <w:t>,</w:t>
            </w:r>
            <w:r w:rsidRPr="000B3AE5">
              <w:rPr>
                <w:rFonts w:ascii="Times New Roman" w:hAnsi="Times New Roman" w:cs="Times New Roman"/>
                <w:sz w:val="20"/>
                <w:szCs w:val="20"/>
                <w:lang w:val="ru-RU"/>
              </w:rPr>
              <w:t xml:space="preserve"> имеющее ценность;</w:t>
            </w:r>
          </w:p>
        </w:tc>
      </w:tr>
      <w:tr w:rsidR="002F3A0F" w:rsidRPr="009609DF" w14:paraId="79D84B29" w14:textId="77777777" w:rsidTr="00572B2D">
        <w:tc>
          <w:tcPr>
            <w:tcW w:w="4952" w:type="dxa"/>
          </w:tcPr>
          <w:p w14:paraId="6D193724" w14:textId="77777777" w:rsidR="002F3A0F" w:rsidRPr="000B3AE5" w:rsidRDefault="002F3A0F" w:rsidP="002F3A0F">
            <w:pPr>
              <w:pStyle w:val="ab"/>
              <w:numPr>
                <w:ilvl w:val="0"/>
                <w:numId w:val="2"/>
              </w:numPr>
              <w:spacing w:before="80" w:after="80" w:line="260" w:lineRule="exact"/>
              <w:contextualSpacing w:val="0"/>
              <w:jc w:val="both"/>
              <w:rPr>
                <w:rFonts w:ascii="Times New Roman" w:hAnsi="Times New Roman" w:cs="Times New Roman"/>
                <w:sz w:val="20"/>
                <w:szCs w:val="20"/>
              </w:rPr>
            </w:pPr>
            <w:r w:rsidRPr="000B3AE5">
              <w:rPr>
                <w:rFonts w:ascii="Times New Roman" w:hAnsi="Times New Roman" w:cs="Times New Roman"/>
                <w:sz w:val="20"/>
                <w:szCs w:val="20"/>
              </w:rPr>
              <w:t>directly or indirectly through a third party;</w:t>
            </w:r>
          </w:p>
        </w:tc>
        <w:tc>
          <w:tcPr>
            <w:tcW w:w="4953" w:type="dxa"/>
          </w:tcPr>
          <w:p w14:paraId="7B655770" w14:textId="77777777" w:rsidR="002F3A0F" w:rsidRPr="000B3AE5" w:rsidRDefault="002F3A0F" w:rsidP="002F3A0F">
            <w:pPr>
              <w:pStyle w:val="ab"/>
              <w:numPr>
                <w:ilvl w:val="0"/>
                <w:numId w:val="5"/>
              </w:numPr>
              <w:spacing w:before="80" w:after="80" w:line="260" w:lineRule="exact"/>
              <w:ind w:right="-1"/>
              <w:contextualSpacing w:val="0"/>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прямо или косвенно через третью сторону;</w:t>
            </w:r>
          </w:p>
        </w:tc>
      </w:tr>
      <w:tr w:rsidR="002F3A0F" w:rsidRPr="009609DF" w14:paraId="784735F9" w14:textId="77777777" w:rsidTr="00572B2D">
        <w:tc>
          <w:tcPr>
            <w:tcW w:w="4952" w:type="dxa"/>
          </w:tcPr>
          <w:p w14:paraId="79C85E40" w14:textId="77777777" w:rsidR="002F3A0F" w:rsidRPr="000B3AE5" w:rsidRDefault="002F3A0F" w:rsidP="002F3A0F">
            <w:pPr>
              <w:pStyle w:val="ab"/>
              <w:numPr>
                <w:ilvl w:val="0"/>
                <w:numId w:val="2"/>
              </w:numPr>
              <w:spacing w:before="80" w:after="80" w:line="260" w:lineRule="exact"/>
              <w:contextualSpacing w:val="0"/>
              <w:jc w:val="both"/>
              <w:rPr>
                <w:rFonts w:ascii="Times New Roman" w:hAnsi="Times New Roman" w:cs="Times New Roman"/>
                <w:sz w:val="20"/>
                <w:szCs w:val="20"/>
              </w:rPr>
            </w:pPr>
            <w:r w:rsidRPr="000B3AE5">
              <w:rPr>
                <w:rFonts w:ascii="Times New Roman" w:hAnsi="Times New Roman" w:cs="Times New Roman"/>
                <w:sz w:val="20"/>
                <w:szCs w:val="20"/>
              </w:rPr>
              <w:t>to government officials (including employees of state-owned or controlled companies or hospitals), public international organizations, political candidates or political parties</w:t>
            </w:r>
          </w:p>
        </w:tc>
        <w:tc>
          <w:tcPr>
            <w:tcW w:w="4953" w:type="dxa"/>
          </w:tcPr>
          <w:p w14:paraId="16D4AEEB" w14:textId="77777777" w:rsidR="002F3A0F" w:rsidRPr="000B3AE5" w:rsidRDefault="002F3A0F" w:rsidP="002F3A0F">
            <w:pPr>
              <w:pStyle w:val="ab"/>
              <w:numPr>
                <w:ilvl w:val="0"/>
                <w:numId w:val="5"/>
              </w:numPr>
              <w:spacing w:before="80" w:after="80" w:line="260" w:lineRule="exact"/>
              <w:ind w:right="-1"/>
              <w:contextualSpacing w:val="0"/>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государственным</w:t>
            </w:r>
            <w:r w:rsidRPr="00E21F5A">
              <w:rPr>
                <w:rFonts w:ascii="Times New Roman" w:hAnsi="Times New Roman" w:cs="Times New Roman"/>
                <w:sz w:val="20"/>
                <w:szCs w:val="20"/>
                <w:lang w:val="ru-RU"/>
              </w:rPr>
              <w:t xml:space="preserve"> </w:t>
            </w:r>
            <w:r>
              <w:rPr>
                <w:rFonts w:ascii="Times New Roman" w:hAnsi="Times New Roman" w:cs="Times New Roman"/>
                <w:sz w:val="20"/>
                <w:szCs w:val="20"/>
                <w:lang w:val="ru-RU"/>
              </w:rPr>
              <w:t>служащим</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включая</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сотрудников</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государственных</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или</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контролируемых</w:t>
            </w:r>
            <w:r w:rsidRPr="00E21F5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государством </w:t>
            </w:r>
            <w:r w:rsidRPr="000B3AE5">
              <w:rPr>
                <w:rFonts w:ascii="Times New Roman" w:hAnsi="Times New Roman" w:cs="Times New Roman"/>
                <w:sz w:val="20"/>
                <w:szCs w:val="20"/>
                <w:lang w:val="ru-RU"/>
              </w:rPr>
              <w:t>компаний</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или</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больниц</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общественным</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международным</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организациям</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политическим</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кандидатам</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или</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политическим</w:t>
            </w:r>
            <w:r w:rsidRPr="00E21F5A">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партиям</w:t>
            </w:r>
          </w:p>
        </w:tc>
      </w:tr>
      <w:tr w:rsidR="002F3A0F" w:rsidRPr="009609DF" w14:paraId="2225C105" w14:textId="77777777" w:rsidTr="00572B2D">
        <w:tc>
          <w:tcPr>
            <w:tcW w:w="4952" w:type="dxa"/>
          </w:tcPr>
          <w:p w14:paraId="5EEE9208" w14:textId="77777777" w:rsidR="002F3A0F" w:rsidRPr="000B3AE5" w:rsidRDefault="002F3A0F" w:rsidP="002F3A0F">
            <w:pPr>
              <w:pStyle w:val="ab"/>
              <w:numPr>
                <w:ilvl w:val="0"/>
                <w:numId w:val="2"/>
              </w:numPr>
              <w:spacing w:before="80" w:after="80" w:line="260" w:lineRule="exact"/>
              <w:contextualSpacing w:val="0"/>
              <w:jc w:val="both"/>
              <w:rPr>
                <w:rFonts w:ascii="Times New Roman" w:hAnsi="Times New Roman" w:cs="Times New Roman"/>
                <w:sz w:val="20"/>
                <w:szCs w:val="20"/>
              </w:rPr>
            </w:pPr>
            <w:r w:rsidRPr="000B3AE5">
              <w:rPr>
                <w:rFonts w:ascii="Times New Roman" w:hAnsi="Times New Roman" w:cs="Times New Roman"/>
                <w:sz w:val="20"/>
                <w:szCs w:val="20"/>
              </w:rPr>
              <w:t>for the purpose of obtaining or retaining business, directing business to anyone or gaining an improper advantage.</w:t>
            </w:r>
          </w:p>
        </w:tc>
        <w:tc>
          <w:tcPr>
            <w:tcW w:w="4953" w:type="dxa"/>
          </w:tcPr>
          <w:p w14:paraId="0165316D" w14:textId="77777777" w:rsidR="002F3A0F" w:rsidRPr="000B3AE5" w:rsidRDefault="002F3A0F" w:rsidP="002F3A0F">
            <w:pPr>
              <w:pStyle w:val="ab"/>
              <w:numPr>
                <w:ilvl w:val="0"/>
                <w:numId w:val="5"/>
              </w:numPr>
              <w:spacing w:before="80" w:after="80" w:line="260" w:lineRule="exact"/>
              <w:ind w:right="-1"/>
              <w:contextualSpacing w:val="0"/>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с целью получения или сохранения бизнеса, передачи бизнеса кому-либо или получения ненадлежащей выгоды.</w:t>
            </w:r>
          </w:p>
        </w:tc>
      </w:tr>
      <w:tr w:rsidR="002F3A0F" w:rsidRPr="009609DF" w14:paraId="48C77524" w14:textId="77777777" w:rsidTr="00572B2D">
        <w:tc>
          <w:tcPr>
            <w:tcW w:w="4952" w:type="dxa"/>
          </w:tcPr>
          <w:p w14:paraId="1D6AACEB" w14:textId="77777777" w:rsidR="002F3A0F" w:rsidRPr="000B3AE5" w:rsidRDefault="002F3A0F" w:rsidP="00572B2D">
            <w:pPr>
              <w:spacing w:before="80" w:after="80" w:line="260" w:lineRule="exact"/>
              <w:jc w:val="both"/>
              <w:rPr>
                <w:rFonts w:ascii="Times New Roman" w:hAnsi="Times New Roman" w:cs="Times New Roman"/>
                <w:sz w:val="20"/>
                <w:szCs w:val="20"/>
              </w:rPr>
            </w:pPr>
            <w:r w:rsidRPr="000B3AE5">
              <w:rPr>
                <w:rFonts w:ascii="Times New Roman" w:hAnsi="Times New Roman" w:cs="Times New Roman"/>
                <w:sz w:val="20"/>
                <w:szCs w:val="20"/>
              </w:rPr>
              <w:t>These prohibitions are not limited to cash payments.  “</w:t>
            </w:r>
            <w:r>
              <w:rPr>
                <w:rFonts w:ascii="Times New Roman" w:hAnsi="Times New Roman" w:cs="Times New Roman"/>
                <w:sz w:val="20"/>
                <w:szCs w:val="20"/>
              </w:rPr>
              <w:t>A</w:t>
            </w:r>
            <w:r w:rsidRPr="000B3AE5">
              <w:rPr>
                <w:rFonts w:ascii="Times New Roman" w:hAnsi="Times New Roman" w:cs="Times New Roman"/>
                <w:sz w:val="20"/>
                <w:szCs w:val="20"/>
              </w:rPr>
              <w:t xml:space="preserve">nything of value” can </w:t>
            </w:r>
            <w:r>
              <w:rPr>
                <w:rFonts w:ascii="Times New Roman" w:hAnsi="Times New Roman" w:cs="Times New Roman"/>
                <w:sz w:val="20"/>
                <w:szCs w:val="20"/>
              </w:rPr>
              <w:t>apply to</w:t>
            </w:r>
            <w:r w:rsidRPr="000B3AE5">
              <w:rPr>
                <w:rFonts w:ascii="Times New Roman" w:hAnsi="Times New Roman" w:cs="Times New Roman"/>
                <w:sz w:val="20"/>
                <w:szCs w:val="20"/>
              </w:rPr>
              <w:t xml:space="preserve"> ownership interest in a joint venture company, contractual rights or interests, real estate, personal property, or</w:t>
            </w:r>
            <w:r>
              <w:rPr>
                <w:rFonts w:ascii="Times New Roman" w:hAnsi="Times New Roman" w:cs="Times New Roman"/>
                <w:sz w:val="20"/>
                <w:szCs w:val="20"/>
              </w:rPr>
              <w:t>/and</w:t>
            </w:r>
            <w:r w:rsidRPr="000B3AE5">
              <w:rPr>
                <w:rFonts w:ascii="Times New Roman" w:hAnsi="Times New Roman" w:cs="Times New Roman"/>
                <w:sz w:val="20"/>
                <w:szCs w:val="20"/>
              </w:rPr>
              <w:t xml:space="preserve"> other interests arising from a business relationship. In addition, gifts, travel, entertainment, commissions, shares, debt forgiveness or discounts </w:t>
            </w:r>
            <w:r>
              <w:rPr>
                <w:rFonts w:ascii="Times New Roman" w:hAnsi="Times New Roman" w:cs="Times New Roman"/>
                <w:sz w:val="20"/>
                <w:szCs w:val="20"/>
              </w:rPr>
              <w:t>are</w:t>
            </w:r>
            <w:r w:rsidRPr="000B3AE5">
              <w:rPr>
                <w:rFonts w:ascii="Times New Roman" w:hAnsi="Times New Roman" w:cs="Times New Roman"/>
                <w:sz w:val="20"/>
                <w:szCs w:val="20"/>
              </w:rPr>
              <w:t xml:space="preserve"> also </w:t>
            </w:r>
            <w:r>
              <w:rPr>
                <w:rFonts w:ascii="Times New Roman" w:hAnsi="Times New Roman" w:cs="Times New Roman"/>
                <w:sz w:val="20"/>
                <w:szCs w:val="20"/>
              </w:rPr>
              <w:t>inappropriate</w:t>
            </w:r>
            <w:r w:rsidRPr="000B3AE5">
              <w:rPr>
                <w:rFonts w:ascii="Times New Roman" w:hAnsi="Times New Roman" w:cs="Times New Roman"/>
                <w:sz w:val="20"/>
                <w:szCs w:val="20"/>
              </w:rPr>
              <w:t xml:space="preserve">. </w:t>
            </w:r>
          </w:p>
        </w:tc>
        <w:tc>
          <w:tcPr>
            <w:tcW w:w="4953" w:type="dxa"/>
          </w:tcPr>
          <w:p w14:paraId="20787905" w14:textId="77777777" w:rsidR="002F3A0F" w:rsidRPr="000B3AE5" w:rsidRDefault="002F3A0F" w:rsidP="00572B2D">
            <w:pPr>
              <w:spacing w:before="80" w:after="80" w:line="260" w:lineRule="exact"/>
              <w:ind w:right="-1"/>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 xml:space="preserve">Эти запреты не ограничиваются денежными выплатами. </w:t>
            </w:r>
            <w:r>
              <w:rPr>
                <w:rFonts w:ascii="Times New Roman" w:hAnsi="Times New Roman" w:cs="Times New Roman"/>
                <w:sz w:val="20"/>
                <w:szCs w:val="20"/>
                <w:lang w:val="ru-RU"/>
              </w:rPr>
              <w:t xml:space="preserve">Понятие </w:t>
            </w:r>
            <w:r w:rsidRPr="000B3AE5">
              <w:rPr>
                <w:rFonts w:ascii="Times New Roman" w:hAnsi="Times New Roman" w:cs="Times New Roman"/>
                <w:sz w:val="20"/>
                <w:szCs w:val="20"/>
                <w:lang w:val="ru-RU"/>
              </w:rPr>
              <w:t>«</w:t>
            </w:r>
            <w:r>
              <w:rPr>
                <w:rFonts w:ascii="Times New Roman" w:hAnsi="Times New Roman" w:cs="Times New Roman"/>
                <w:sz w:val="20"/>
                <w:szCs w:val="20"/>
                <w:lang w:val="ru-RU"/>
              </w:rPr>
              <w:t>ч</w:t>
            </w:r>
            <w:r w:rsidRPr="000B3AE5">
              <w:rPr>
                <w:rFonts w:ascii="Times New Roman" w:hAnsi="Times New Roman" w:cs="Times New Roman"/>
                <w:sz w:val="20"/>
                <w:szCs w:val="20"/>
                <w:lang w:val="ru-RU"/>
              </w:rPr>
              <w:t>то-либо</w:t>
            </w:r>
            <w:r>
              <w:rPr>
                <w:rFonts w:ascii="Times New Roman" w:hAnsi="Times New Roman" w:cs="Times New Roman"/>
                <w:sz w:val="20"/>
                <w:szCs w:val="20"/>
                <w:lang w:val="ru-RU"/>
              </w:rPr>
              <w:t>,</w:t>
            </w:r>
            <w:r w:rsidRPr="000B3AE5">
              <w:rPr>
                <w:rFonts w:ascii="Times New Roman" w:hAnsi="Times New Roman" w:cs="Times New Roman"/>
                <w:sz w:val="20"/>
                <w:szCs w:val="20"/>
                <w:lang w:val="ru-RU"/>
              </w:rPr>
              <w:t xml:space="preserve"> имеющее ценность»</w:t>
            </w:r>
            <w:r>
              <w:rPr>
                <w:rFonts w:ascii="Times New Roman" w:hAnsi="Times New Roman" w:cs="Times New Roman"/>
                <w:sz w:val="20"/>
                <w:szCs w:val="20"/>
                <w:lang w:val="ru-RU"/>
              </w:rPr>
              <w:t xml:space="preserve">, </w:t>
            </w:r>
            <w:r w:rsidRPr="000B3AE5">
              <w:rPr>
                <w:rFonts w:ascii="Times New Roman" w:hAnsi="Times New Roman" w:cs="Times New Roman"/>
                <w:sz w:val="20"/>
                <w:szCs w:val="20"/>
                <w:lang w:val="ru-RU"/>
              </w:rPr>
              <w:t>включа</w:t>
            </w:r>
            <w:r>
              <w:rPr>
                <w:rFonts w:ascii="Times New Roman" w:hAnsi="Times New Roman" w:cs="Times New Roman"/>
                <w:sz w:val="20"/>
                <w:szCs w:val="20"/>
                <w:lang w:val="ru-RU"/>
              </w:rPr>
              <w:t>е</w:t>
            </w:r>
            <w:r w:rsidRPr="000B3AE5">
              <w:rPr>
                <w:rFonts w:ascii="Times New Roman" w:hAnsi="Times New Roman" w:cs="Times New Roman"/>
                <w:sz w:val="20"/>
                <w:szCs w:val="20"/>
                <w:lang w:val="ru-RU"/>
              </w:rPr>
              <w:t>т</w:t>
            </w:r>
            <w:r>
              <w:rPr>
                <w:rFonts w:ascii="Times New Roman" w:hAnsi="Times New Roman" w:cs="Times New Roman"/>
                <w:sz w:val="20"/>
                <w:szCs w:val="20"/>
                <w:lang w:val="ru-RU"/>
              </w:rPr>
              <w:t xml:space="preserve"> в себя</w:t>
            </w:r>
            <w:r w:rsidRPr="000B3AE5">
              <w:rPr>
                <w:rFonts w:ascii="Times New Roman" w:hAnsi="Times New Roman" w:cs="Times New Roman"/>
                <w:sz w:val="20"/>
                <w:szCs w:val="20"/>
                <w:lang w:val="ru-RU"/>
              </w:rPr>
              <w:t xml:space="preserve"> долю собственности в совместном предприятии, права или интересы,</w:t>
            </w:r>
            <w:r>
              <w:rPr>
                <w:rFonts w:ascii="Times New Roman" w:hAnsi="Times New Roman" w:cs="Times New Roman"/>
                <w:sz w:val="20"/>
                <w:szCs w:val="20"/>
                <w:lang w:val="ru-RU"/>
              </w:rPr>
              <w:t xml:space="preserve"> возникающие из договора,</w:t>
            </w:r>
            <w:r w:rsidRPr="000B3AE5">
              <w:rPr>
                <w:rFonts w:ascii="Times New Roman" w:hAnsi="Times New Roman" w:cs="Times New Roman"/>
                <w:sz w:val="20"/>
                <w:szCs w:val="20"/>
                <w:lang w:val="ru-RU"/>
              </w:rPr>
              <w:t xml:space="preserve"> недвижимость, личное имущество или</w:t>
            </w:r>
            <w:r w:rsidRPr="008B1A3A">
              <w:rPr>
                <w:rFonts w:ascii="Times New Roman" w:hAnsi="Times New Roman" w:cs="Times New Roman"/>
                <w:sz w:val="20"/>
                <w:szCs w:val="20"/>
                <w:lang w:val="ru-RU"/>
              </w:rPr>
              <w:t>/</w:t>
            </w:r>
            <w:r>
              <w:rPr>
                <w:rFonts w:ascii="Times New Roman" w:hAnsi="Times New Roman" w:cs="Times New Roman"/>
                <w:sz w:val="20"/>
                <w:szCs w:val="20"/>
                <w:lang w:val="ru-RU"/>
              </w:rPr>
              <w:t>и</w:t>
            </w:r>
            <w:r w:rsidRPr="000B3AE5">
              <w:rPr>
                <w:rFonts w:ascii="Times New Roman" w:hAnsi="Times New Roman" w:cs="Times New Roman"/>
                <w:sz w:val="20"/>
                <w:szCs w:val="20"/>
                <w:lang w:val="ru-RU"/>
              </w:rPr>
              <w:t xml:space="preserve"> другие </w:t>
            </w:r>
            <w:r>
              <w:rPr>
                <w:rFonts w:ascii="Times New Roman" w:hAnsi="Times New Roman" w:cs="Times New Roman"/>
                <w:sz w:val="20"/>
                <w:szCs w:val="20"/>
                <w:lang w:val="ru-RU"/>
              </w:rPr>
              <w:t>преференции</w:t>
            </w:r>
            <w:r w:rsidRPr="000B3AE5">
              <w:rPr>
                <w:rFonts w:ascii="Times New Roman" w:hAnsi="Times New Roman" w:cs="Times New Roman"/>
                <w:sz w:val="20"/>
                <w:szCs w:val="20"/>
                <w:lang w:val="ru-RU"/>
              </w:rPr>
              <w:t xml:space="preserve">, </w:t>
            </w:r>
            <w:r>
              <w:rPr>
                <w:rFonts w:ascii="Times New Roman" w:hAnsi="Times New Roman" w:cs="Times New Roman"/>
                <w:sz w:val="20"/>
                <w:szCs w:val="20"/>
                <w:lang w:val="ru-RU"/>
              </w:rPr>
              <w:t>полученные в рамках</w:t>
            </w:r>
            <w:r w:rsidRPr="000B3AE5">
              <w:rPr>
                <w:rFonts w:ascii="Times New Roman" w:hAnsi="Times New Roman" w:cs="Times New Roman"/>
                <w:sz w:val="20"/>
                <w:szCs w:val="20"/>
                <w:lang w:val="ru-RU"/>
              </w:rPr>
              <w:t xml:space="preserve"> деловы</w:t>
            </w:r>
            <w:r>
              <w:rPr>
                <w:rFonts w:ascii="Times New Roman" w:hAnsi="Times New Roman" w:cs="Times New Roman"/>
                <w:sz w:val="20"/>
                <w:szCs w:val="20"/>
                <w:lang w:val="ru-RU"/>
              </w:rPr>
              <w:t>х</w:t>
            </w:r>
            <w:r w:rsidRPr="000B3AE5">
              <w:rPr>
                <w:rFonts w:ascii="Times New Roman" w:hAnsi="Times New Roman" w:cs="Times New Roman"/>
                <w:sz w:val="20"/>
                <w:szCs w:val="20"/>
                <w:lang w:val="ru-RU"/>
              </w:rPr>
              <w:t xml:space="preserve"> отношени</w:t>
            </w:r>
            <w:r>
              <w:rPr>
                <w:rFonts w:ascii="Times New Roman" w:hAnsi="Times New Roman" w:cs="Times New Roman"/>
                <w:sz w:val="20"/>
                <w:szCs w:val="20"/>
                <w:lang w:val="ru-RU"/>
              </w:rPr>
              <w:t>й</w:t>
            </w:r>
            <w:r w:rsidRPr="000B3AE5">
              <w:rPr>
                <w:rFonts w:ascii="Times New Roman" w:hAnsi="Times New Roman" w:cs="Times New Roman"/>
                <w:sz w:val="20"/>
                <w:szCs w:val="20"/>
                <w:lang w:val="ru-RU"/>
              </w:rPr>
              <w:t xml:space="preserve">. Кроме того, подарки, путешествия, развлечения, комиссии, акции, </w:t>
            </w:r>
            <w:r>
              <w:rPr>
                <w:rFonts w:ascii="Times New Roman" w:hAnsi="Times New Roman" w:cs="Times New Roman"/>
                <w:sz w:val="20"/>
                <w:szCs w:val="20"/>
                <w:lang w:val="ru-RU"/>
              </w:rPr>
              <w:t>прощение</w:t>
            </w:r>
            <w:r w:rsidRPr="000B3AE5">
              <w:rPr>
                <w:rFonts w:ascii="Times New Roman" w:hAnsi="Times New Roman" w:cs="Times New Roman"/>
                <w:sz w:val="20"/>
                <w:szCs w:val="20"/>
                <w:lang w:val="ru-RU"/>
              </w:rPr>
              <w:t xml:space="preserve"> долгов или скидки </w:t>
            </w:r>
            <w:r>
              <w:rPr>
                <w:rFonts w:ascii="Times New Roman" w:hAnsi="Times New Roman" w:cs="Times New Roman"/>
                <w:sz w:val="20"/>
                <w:szCs w:val="20"/>
                <w:lang w:val="ru-RU"/>
              </w:rPr>
              <w:t>не</w:t>
            </w:r>
            <w:r w:rsidRPr="008B1A3A">
              <w:rPr>
                <w:rFonts w:ascii="Times New Roman" w:hAnsi="Times New Roman" w:cs="Times New Roman"/>
                <w:sz w:val="20"/>
                <w:szCs w:val="20"/>
                <w:lang w:val="ru-RU"/>
              </w:rPr>
              <w:t xml:space="preserve"> </w:t>
            </w:r>
            <w:r>
              <w:rPr>
                <w:rFonts w:ascii="Times New Roman" w:hAnsi="Times New Roman" w:cs="Times New Roman"/>
                <w:sz w:val="20"/>
                <w:szCs w:val="20"/>
                <w:lang w:val="ru-RU"/>
              </w:rPr>
              <w:t>допускаются</w:t>
            </w:r>
            <w:r w:rsidRPr="000B3AE5">
              <w:rPr>
                <w:rFonts w:ascii="Times New Roman" w:hAnsi="Times New Roman" w:cs="Times New Roman"/>
                <w:sz w:val="20"/>
                <w:szCs w:val="20"/>
                <w:lang w:val="ru-RU"/>
              </w:rPr>
              <w:t>.</w:t>
            </w:r>
          </w:p>
        </w:tc>
      </w:tr>
      <w:tr w:rsidR="002F3A0F" w:rsidRPr="009609DF" w14:paraId="7AFC27E7" w14:textId="77777777" w:rsidTr="00572B2D">
        <w:tc>
          <w:tcPr>
            <w:tcW w:w="4952" w:type="dxa"/>
          </w:tcPr>
          <w:p w14:paraId="26E5D0BE" w14:textId="77777777" w:rsidR="002F3A0F" w:rsidRPr="000B3AE5" w:rsidRDefault="002F3A0F" w:rsidP="002F3A0F">
            <w:pPr>
              <w:pStyle w:val="ab"/>
              <w:numPr>
                <w:ilvl w:val="0"/>
                <w:numId w:val="1"/>
              </w:numPr>
              <w:spacing w:before="80" w:after="80" w:line="260" w:lineRule="exact"/>
              <w:contextualSpacing w:val="0"/>
              <w:rPr>
                <w:rFonts w:ascii="Times New Roman" w:hAnsi="Times New Roman" w:cs="Times New Roman"/>
                <w:sz w:val="20"/>
                <w:szCs w:val="20"/>
              </w:rPr>
            </w:pPr>
            <w:r w:rsidRPr="000B3AE5">
              <w:rPr>
                <w:rFonts w:ascii="Times New Roman" w:hAnsi="Times New Roman" w:cs="Times New Roman"/>
                <w:b/>
                <w:sz w:val="20"/>
                <w:szCs w:val="20"/>
                <w:u w:val="single"/>
              </w:rPr>
              <w:t>Accuracy of Accounting and Financial Records</w:t>
            </w:r>
          </w:p>
        </w:tc>
        <w:tc>
          <w:tcPr>
            <w:tcW w:w="4953" w:type="dxa"/>
          </w:tcPr>
          <w:p w14:paraId="5985BEF8" w14:textId="77777777" w:rsidR="002F3A0F" w:rsidRPr="000B3AE5" w:rsidRDefault="002F3A0F" w:rsidP="002F3A0F">
            <w:pPr>
              <w:pStyle w:val="ab"/>
              <w:numPr>
                <w:ilvl w:val="0"/>
                <w:numId w:val="4"/>
              </w:numPr>
              <w:spacing w:before="80" w:after="80" w:line="260" w:lineRule="exact"/>
              <w:ind w:left="718" w:right="-1"/>
              <w:contextualSpacing w:val="0"/>
              <w:rPr>
                <w:rFonts w:ascii="Times New Roman" w:hAnsi="Times New Roman" w:cs="Times New Roman"/>
                <w:b/>
                <w:sz w:val="20"/>
                <w:szCs w:val="20"/>
                <w:u w:val="single"/>
                <w:lang w:val="ru-RU"/>
              </w:rPr>
            </w:pPr>
            <w:r w:rsidRPr="000B3AE5">
              <w:rPr>
                <w:rFonts w:ascii="Times New Roman" w:hAnsi="Times New Roman" w:cs="Times New Roman"/>
                <w:b/>
                <w:sz w:val="20"/>
                <w:szCs w:val="20"/>
                <w:u w:val="single"/>
                <w:lang w:val="ru-RU"/>
              </w:rPr>
              <w:t>Точность бухгалтерского учета и финансовой отчетности</w:t>
            </w:r>
          </w:p>
        </w:tc>
      </w:tr>
      <w:tr w:rsidR="002F3A0F" w:rsidRPr="009609DF" w14:paraId="301C361E" w14:textId="77777777" w:rsidTr="00572B2D">
        <w:tc>
          <w:tcPr>
            <w:tcW w:w="4952" w:type="dxa"/>
          </w:tcPr>
          <w:p w14:paraId="3693B3C4" w14:textId="77777777" w:rsidR="002F3A0F" w:rsidRPr="000B3AE5" w:rsidRDefault="002F3A0F" w:rsidP="00572B2D">
            <w:pPr>
              <w:spacing w:before="80" w:after="80" w:line="260" w:lineRule="exact"/>
              <w:jc w:val="both"/>
              <w:rPr>
                <w:rFonts w:ascii="Times New Roman" w:hAnsi="Times New Roman" w:cs="Times New Roman"/>
                <w:sz w:val="20"/>
                <w:szCs w:val="20"/>
              </w:rPr>
            </w:pPr>
            <w:r w:rsidRPr="000B3AE5">
              <w:rPr>
                <w:rFonts w:ascii="Times New Roman" w:hAnsi="Times New Roman" w:cs="Times New Roman"/>
                <w:sz w:val="20"/>
                <w:szCs w:val="20"/>
              </w:rPr>
              <w:t xml:space="preserve">The Company requires that all financial transactions be accurately reflected in the Company’s financial records and in accordance with generally accepted accounting principles. All Company employees are required to maintain accurate accounting records. The Company and its employees, subsidiaries, and affiliates are further prohibited from maintaining undisclosed or unrecorded funds or assets established for any business purpose. Examples of </w:t>
            </w:r>
            <w:r w:rsidRPr="000B3AE5">
              <w:rPr>
                <w:rFonts w:ascii="Times New Roman" w:hAnsi="Times New Roman" w:cs="Times New Roman"/>
                <w:sz w:val="20"/>
                <w:szCs w:val="20"/>
              </w:rPr>
              <w:lastRenderedPageBreak/>
              <w:t>undisclosed or unrecorded funds or assets include, but are not limited to, the following:</w:t>
            </w:r>
          </w:p>
        </w:tc>
        <w:tc>
          <w:tcPr>
            <w:tcW w:w="4953" w:type="dxa"/>
          </w:tcPr>
          <w:p w14:paraId="5B6440F1" w14:textId="77777777" w:rsidR="002F3A0F" w:rsidRPr="000B3AE5" w:rsidRDefault="002F3A0F" w:rsidP="00572B2D">
            <w:pPr>
              <w:spacing w:before="80" w:after="80" w:line="260" w:lineRule="exact"/>
              <w:ind w:right="-1"/>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lastRenderedPageBreak/>
              <w:t xml:space="preserve">Компания требует, чтобы все финансовые операции были точно отражены в финансовых отчетах Компании и в соответствии с общепринятыми принципами бухгалтерского учета. Все сотрудники Компании обязаны вести точные учетные записи. Компании и ее сотрудникам, дочерним компаниям и аффилированным лицам запрещено иметь нераскрытые или незарегистрированные средства или активы, созданные </w:t>
            </w:r>
            <w:r w:rsidRPr="000B3AE5">
              <w:rPr>
                <w:rFonts w:ascii="Times New Roman" w:hAnsi="Times New Roman" w:cs="Times New Roman"/>
                <w:sz w:val="20"/>
                <w:szCs w:val="20"/>
                <w:lang w:val="ru-RU"/>
              </w:rPr>
              <w:lastRenderedPageBreak/>
              <w:t>для любых коммерческих целей. Примеры нераскрытых или незарегистрированных средств или активов включают, но не ограничиваются следующим:</w:t>
            </w:r>
          </w:p>
        </w:tc>
      </w:tr>
      <w:tr w:rsidR="002F3A0F" w:rsidRPr="009609DF" w14:paraId="715B1D1B" w14:textId="77777777" w:rsidTr="00572B2D">
        <w:tc>
          <w:tcPr>
            <w:tcW w:w="4952" w:type="dxa"/>
          </w:tcPr>
          <w:p w14:paraId="4554EB33" w14:textId="77777777" w:rsidR="002F3A0F" w:rsidRPr="000B3AE5" w:rsidRDefault="002F3A0F" w:rsidP="002F3A0F">
            <w:pPr>
              <w:pStyle w:val="ab"/>
              <w:numPr>
                <w:ilvl w:val="0"/>
                <w:numId w:val="3"/>
              </w:numPr>
              <w:spacing w:before="80" w:after="80" w:line="260" w:lineRule="exact"/>
              <w:contextualSpacing w:val="0"/>
              <w:jc w:val="both"/>
              <w:rPr>
                <w:rFonts w:ascii="Times New Roman" w:hAnsi="Times New Roman" w:cs="Times New Roman"/>
                <w:sz w:val="20"/>
                <w:szCs w:val="20"/>
              </w:rPr>
            </w:pPr>
            <w:r w:rsidRPr="000B3AE5">
              <w:rPr>
                <w:rFonts w:ascii="Times New Roman" w:hAnsi="Times New Roman" w:cs="Times New Roman"/>
                <w:sz w:val="20"/>
                <w:szCs w:val="20"/>
              </w:rPr>
              <w:lastRenderedPageBreak/>
              <w:t>numbered foreign bank accounts;</w:t>
            </w:r>
          </w:p>
        </w:tc>
        <w:tc>
          <w:tcPr>
            <w:tcW w:w="4953" w:type="dxa"/>
          </w:tcPr>
          <w:p w14:paraId="65CFD63F" w14:textId="77777777" w:rsidR="002F3A0F" w:rsidRPr="000B3AE5" w:rsidRDefault="002F3A0F" w:rsidP="002F3A0F">
            <w:pPr>
              <w:pStyle w:val="ab"/>
              <w:numPr>
                <w:ilvl w:val="0"/>
                <w:numId w:val="6"/>
              </w:numPr>
              <w:spacing w:before="80" w:after="80" w:line="260" w:lineRule="exact"/>
              <w:ind w:right="-1"/>
              <w:contextualSpacing w:val="0"/>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кодированные счета в иностранных банках;</w:t>
            </w:r>
          </w:p>
        </w:tc>
      </w:tr>
      <w:tr w:rsidR="002F3A0F" w:rsidRPr="009609DF" w14:paraId="162EAE21" w14:textId="77777777" w:rsidTr="00572B2D">
        <w:tc>
          <w:tcPr>
            <w:tcW w:w="4952" w:type="dxa"/>
          </w:tcPr>
          <w:p w14:paraId="4F787611" w14:textId="77777777" w:rsidR="002F3A0F" w:rsidRPr="000B3AE5" w:rsidRDefault="002F3A0F" w:rsidP="002F3A0F">
            <w:pPr>
              <w:pStyle w:val="ab"/>
              <w:numPr>
                <w:ilvl w:val="0"/>
                <w:numId w:val="3"/>
              </w:numPr>
              <w:spacing w:before="80" w:after="80" w:line="260" w:lineRule="exact"/>
              <w:contextualSpacing w:val="0"/>
              <w:jc w:val="both"/>
              <w:rPr>
                <w:rFonts w:ascii="Times New Roman" w:hAnsi="Times New Roman" w:cs="Times New Roman"/>
                <w:sz w:val="20"/>
                <w:szCs w:val="20"/>
              </w:rPr>
            </w:pPr>
            <w:r w:rsidRPr="000B3AE5">
              <w:rPr>
                <w:rFonts w:ascii="Times New Roman" w:hAnsi="Times New Roman" w:cs="Times New Roman"/>
                <w:sz w:val="20"/>
                <w:szCs w:val="20"/>
              </w:rPr>
              <w:t>bank accounts containing Company funds but held in the names of individuals;</w:t>
            </w:r>
          </w:p>
        </w:tc>
        <w:tc>
          <w:tcPr>
            <w:tcW w:w="4953" w:type="dxa"/>
          </w:tcPr>
          <w:p w14:paraId="5B563B52" w14:textId="77777777" w:rsidR="002F3A0F" w:rsidRPr="000B3AE5" w:rsidRDefault="002F3A0F" w:rsidP="002F3A0F">
            <w:pPr>
              <w:pStyle w:val="ab"/>
              <w:numPr>
                <w:ilvl w:val="0"/>
                <w:numId w:val="3"/>
              </w:numPr>
              <w:spacing w:before="80" w:after="80" w:line="260" w:lineRule="exact"/>
              <w:contextualSpacing w:val="0"/>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банковские счета, содержащие средства Компании, но оформленные на физические лица</w:t>
            </w:r>
          </w:p>
        </w:tc>
      </w:tr>
      <w:tr w:rsidR="002F3A0F" w:rsidRPr="009609DF" w14:paraId="48BDDB29" w14:textId="77777777" w:rsidTr="00572B2D">
        <w:tc>
          <w:tcPr>
            <w:tcW w:w="4952" w:type="dxa"/>
          </w:tcPr>
          <w:p w14:paraId="17DAECB3" w14:textId="77777777" w:rsidR="002F3A0F" w:rsidRPr="000B3AE5" w:rsidRDefault="002F3A0F" w:rsidP="002F3A0F">
            <w:pPr>
              <w:pStyle w:val="ab"/>
              <w:numPr>
                <w:ilvl w:val="0"/>
                <w:numId w:val="3"/>
              </w:numPr>
              <w:spacing w:before="80" w:after="80" w:line="260" w:lineRule="exact"/>
              <w:contextualSpacing w:val="0"/>
              <w:jc w:val="both"/>
              <w:rPr>
                <w:rFonts w:ascii="Times New Roman" w:hAnsi="Times New Roman" w:cs="Times New Roman"/>
                <w:sz w:val="20"/>
                <w:szCs w:val="20"/>
              </w:rPr>
            </w:pPr>
            <w:r w:rsidRPr="000B3AE5">
              <w:rPr>
                <w:rFonts w:ascii="Times New Roman" w:hAnsi="Times New Roman" w:cs="Times New Roman"/>
                <w:sz w:val="20"/>
                <w:szCs w:val="20"/>
              </w:rPr>
              <w:t>unrecorded pe</w:t>
            </w:r>
            <w:r>
              <w:rPr>
                <w:rFonts w:ascii="Times New Roman" w:hAnsi="Times New Roman" w:cs="Times New Roman"/>
                <w:sz w:val="20"/>
                <w:szCs w:val="20"/>
              </w:rPr>
              <w:t xml:space="preserve">tty cash or “black box” funds; </w:t>
            </w:r>
          </w:p>
        </w:tc>
        <w:tc>
          <w:tcPr>
            <w:tcW w:w="4953" w:type="dxa"/>
          </w:tcPr>
          <w:p w14:paraId="44B75828" w14:textId="77777777" w:rsidR="002F3A0F" w:rsidRPr="000B3AE5" w:rsidRDefault="002F3A0F" w:rsidP="002F3A0F">
            <w:pPr>
              <w:pStyle w:val="ab"/>
              <w:numPr>
                <w:ilvl w:val="0"/>
                <w:numId w:val="6"/>
              </w:numPr>
              <w:spacing w:before="80" w:after="80" w:line="260" w:lineRule="exact"/>
              <w:ind w:right="-1"/>
              <w:contextualSpacing w:val="0"/>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незарегистрированные незначительные наличные денежные средства и</w:t>
            </w:r>
            <w:r>
              <w:rPr>
                <w:rFonts w:ascii="Times New Roman" w:hAnsi="Times New Roman" w:cs="Times New Roman"/>
                <w:sz w:val="20"/>
                <w:szCs w:val="20"/>
                <w:lang w:val="ru-RU"/>
              </w:rPr>
              <w:t xml:space="preserve">ли средства «черного ящика»; </w:t>
            </w:r>
          </w:p>
        </w:tc>
      </w:tr>
      <w:tr w:rsidR="002F3A0F" w:rsidRPr="009609DF" w14:paraId="19E6A2A8" w14:textId="77777777" w:rsidTr="00572B2D">
        <w:tc>
          <w:tcPr>
            <w:tcW w:w="4952" w:type="dxa"/>
          </w:tcPr>
          <w:p w14:paraId="368D8B90" w14:textId="77777777" w:rsidR="002F3A0F" w:rsidRPr="000B3AE5" w:rsidRDefault="002F3A0F" w:rsidP="002F3A0F">
            <w:pPr>
              <w:pStyle w:val="ab"/>
              <w:numPr>
                <w:ilvl w:val="0"/>
                <w:numId w:val="3"/>
              </w:numPr>
              <w:spacing w:before="80" w:after="80" w:line="260" w:lineRule="exact"/>
              <w:contextualSpacing w:val="0"/>
              <w:jc w:val="both"/>
              <w:rPr>
                <w:rFonts w:ascii="Times New Roman" w:hAnsi="Times New Roman" w:cs="Times New Roman"/>
                <w:sz w:val="20"/>
                <w:szCs w:val="20"/>
              </w:rPr>
            </w:pPr>
            <w:r w:rsidRPr="000B3AE5">
              <w:rPr>
                <w:rFonts w:ascii="Times New Roman" w:hAnsi="Times New Roman" w:cs="Times New Roman"/>
                <w:sz w:val="20"/>
                <w:szCs w:val="20"/>
              </w:rPr>
              <w:t>real and personal property held by a nominee.</w:t>
            </w:r>
          </w:p>
        </w:tc>
        <w:tc>
          <w:tcPr>
            <w:tcW w:w="4953" w:type="dxa"/>
          </w:tcPr>
          <w:p w14:paraId="6F2FDAB7" w14:textId="77777777" w:rsidR="002F3A0F" w:rsidRPr="000B3AE5" w:rsidRDefault="002F3A0F" w:rsidP="002F3A0F">
            <w:pPr>
              <w:pStyle w:val="ab"/>
              <w:numPr>
                <w:ilvl w:val="0"/>
                <w:numId w:val="6"/>
              </w:numPr>
              <w:spacing w:before="80" w:after="80" w:line="260" w:lineRule="exact"/>
              <w:ind w:right="-1"/>
              <w:contextualSpacing w:val="0"/>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недвижимость и личное имущество, оформленное на подставное лицо.</w:t>
            </w:r>
          </w:p>
        </w:tc>
      </w:tr>
      <w:tr w:rsidR="002F3A0F" w:rsidRPr="000B3AE5" w14:paraId="30B0A7C4" w14:textId="77777777" w:rsidTr="00572B2D">
        <w:tc>
          <w:tcPr>
            <w:tcW w:w="4952" w:type="dxa"/>
          </w:tcPr>
          <w:p w14:paraId="3FFACA64" w14:textId="77777777" w:rsidR="002F3A0F" w:rsidRPr="000B3AE5" w:rsidRDefault="002F3A0F" w:rsidP="002F3A0F">
            <w:pPr>
              <w:pStyle w:val="ab"/>
              <w:numPr>
                <w:ilvl w:val="0"/>
                <w:numId w:val="1"/>
              </w:numPr>
              <w:spacing w:before="80" w:after="80" w:line="260" w:lineRule="exact"/>
              <w:contextualSpacing w:val="0"/>
              <w:rPr>
                <w:rFonts w:ascii="Times New Roman" w:hAnsi="Times New Roman" w:cs="Times New Roman"/>
                <w:sz w:val="20"/>
                <w:szCs w:val="20"/>
              </w:rPr>
            </w:pPr>
            <w:r w:rsidRPr="000B3AE5">
              <w:rPr>
                <w:rFonts w:ascii="Times New Roman" w:hAnsi="Times New Roman" w:cs="Times New Roman"/>
                <w:b/>
                <w:sz w:val="20"/>
                <w:szCs w:val="20"/>
                <w:u w:val="single"/>
              </w:rPr>
              <w:t>Applicability of Policy</w:t>
            </w:r>
          </w:p>
        </w:tc>
        <w:tc>
          <w:tcPr>
            <w:tcW w:w="4953" w:type="dxa"/>
          </w:tcPr>
          <w:p w14:paraId="1333437C" w14:textId="77777777" w:rsidR="002F3A0F" w:rsidRPr="000B3AE5" w:rsidRDefault="002F3A0F" w:rsidP="002F3A0F">
            <w:pPr>
              <w:pStyle w:val="ab"/>
              <w:numPr>
                <w:ilvl w:val="0"/>
                <w:numId w:val="4"/>
              </w:numPr>
              <w:spacing w:before="80" w:after="80" w:line="260" w:lineRule="exact"/>
              <w:ind w:right="-1"/>
              <w:contextualSpacing w:val="0"/>
              <w:rPr>
                <w:rFonts w:ascii="Times New Roman" w:hAnsi="Times New Roman" w:cs="Times New Roman"/>
                <w:b/>
                <w:sz w:val="20"/>
                <w:szCs w:val="20"/>
                <w:u w:val="single"/>
              </w:rPr>
            </w:pPr>
            <w:proofErr w:type="spellStart"/>
            <w:r w:rsidRPr="000B3AE5">
              <w:rPr>
                <w:rFonts w:ascii="Times New Roman" w:hAnsi="Times New Roman" w:cs="Times New Roman"/>
                <w:b/>
                <w:sz w:val="20"/>
                <w:szCs w:val="20"/>
                <w:u w:val="single"/>
              </w:rPr>
              <w:t>Применимость</w:t>
            </w:r>
            <w:proofErr w:type="spellEnd"/>
            <w:r w:rsidRPr="000B3AE5">
              <w:rPr>
                <w:rFonts w:ascii="Times New Roman" w:hAnsi="Times New Roman" w:cs="Times New Roman"/>
                <w:b/>
                <w:sz w:val="20"/>
                <w:szCs w:val="20"/>
                <w:u w:val="single"/>
              </w:rPr>
              <w:t xml:space="preserve"> </w:t>
            </w:r>
            <w:proofErr w:type="spellStart"/>
            <w:r w:rsidRPr="000B3AE5">
              <w:rPr>
                <w:rFonts w:ascii="Times New Roman" w:hAnsi="Times New Roman" w:cs="Times New Roman"/>
                <w:b/>
                <w:sz w:val="20"/>
                <w:szCs w:val="20"/>
                <w:u w:val="single"/>
              </w:rPr>
              <w:t>политики</w:t>
            </w:r>
            <w:proofErr w:type="spellEnd"/>
          </w:p>
        </w:tc>
      </w:tr>
      <w:tr w:rsidR="002F3A0F" w:rsidRPr="009609DF" w14:paraId="0D91FFD7" w14:textId="77777777" w:rsidTr="00572B2D">
        <w:tc>
          <w:tcPr>
            <w:tcW w:w="4952" w:type="dxa"/>
          </w:tcPr>
          <w:p w14:paraId="0420DB21" w14:textId="77777777" w:rsidR="002F3A0F" w:rsidRPr="000B3AE5" w:rsidRDefault="002F3A0F" w:rsidP="00572B2D">
            <w:pPr>
              <w:spacing w:before="80" w:after="80" w:line="260" w:lineRule="exact"/>
              <w:jc w:val="both"/>
              <w:rPr>
                <w:rFonts w:ascii="Times New Roman" w:hAnsi="Times New Roman" w:cs="Times New Roman"/>
                <w:sz w:val="20"/>
                <w:szCs w:val="20"/>
              </w:rPr>
            </w:pPr>
            <w:r w:rsidRPr="000B3AE5">
              <w:rPr>
                <w:rFonts w:ascii="Times New Roman" w:hAnsi="Times New Roman" w:cs="Times New Roman"/>
                <w:sz w:val="20"/>
                <w:szCs w:val="20"/>
              </w:rPr>
              <w:t>This Policy applies to everyone at the Company, including all officers, employees, agents, and other intermediaries acting on the Company’s behalf. Each officer and employee of the Company has a personal responsibility and obligation to conduct the Company’s business activities ethically and in compliance with the law.</w:t>
            </w:r>
            <w:r w:rsidRPr="000B3AE5">
              <w:rPr>
                <w:rFonts w:ascii="Times New Roman" w:hAnsi="Times New Roman" w:cs="Times New Roman"/>
                <w:color w:val="1F497D"/>
                <w:sz w:val="20"/>
                <w:szCs w:val="20"/>
              </w:rPr>
              <w:t xml:space="preserve"> </w:t>
            </w:r>
          </w:p>
          <w:p w14:paraId="7B833B0E" w14:textId="77777777" w:rsidR="002F3A0F" w:rsidRPr="000B3AE5" w:rsidRDefault="002F3A0F" w:rsidP="00572B2D">
            <w:pPr>
              <w:pStyle w:val="ab"/>
              <w:spacing w:before="80" w:after="80" w:line="260" w:lineRule="exact"/>
              <w:contextualSpacing w:val="0"/>
              <w:jc w:val="both"/>
              <w:rPr>
                <w:rFonts w:ascii="Times New Roman" w:hAnsi="Times New Roman" w:cs="Times New Roman"/>
                <w:b/>
                <w:sz w:val="20"/>
                <w:szCs w:val="20"/>
                <w:u w:val="single"/>
              </w:rPr>
            </w:pPr>
          </w:p>
        </w:tc>
        <w:tc>
          <w:tcPr>
            <w:tcW w:w="4953" w:type="dxa"/>
          </w:tcPr>
          <w:p w14:paraId="747D7F85" w14:textId="77777777" w:rsidR="002F3A0F" w:rsidRPr="00D5597E" w:rsidRDefault="002F3A0F" w:rsidP="00572B2D">
            <w:pPr>
              <w:spacing w:before="80" w:after="80" w:line="260" w:lineRule="exact"/>
              <w:ind w:right="-1"/>
              <w:jc w:val="both"/>
              <w:rPr>
                <w:rFonts w:ascii="Times New Roman" w:hAnsi="Times New Roman" w:cs="Times New Roman"/>
                <w:sz w:val="20"/>
                <w:szCs w:val="20"/>
                <w:lang w:val="ru-RU"/>
              </w:rPr>
            </w:pPr>
            <w:r w:rsidRPr="000B3AE5">
              <w:rPr>
                <w:rFonts w:ascii="Times New Roman" w:hAnsi="Times New Roman" w:cs="Times New Roman"/>
                <w:sz w:val="20"/>
                <w:szCs w:val="20"/>
                <w:lang w:val="ru-RU"/>
              </w:rPr>
              <w:t>Настоящая Политика распространяется на всех в Компании, включая всех должностных лиц, сотрудников, агентов и других посредников, действующих от имени Компании. Каждое должностное лицо и сотрудник Компании несет персональную ответственность</w:t>
            </w:r>
            <w:r>
              <w:rPr>
                <w:rFonts w:ascii="Times New Roman" w:hAnsi="Times New Roman" w:cs="Times New Roman"/>
                <w:sz w:val="20"/>
                <w:szCs w:val="20"/>
                <w:lang w:val="ru-RU"/>
              </w:rPr>
              <w:t xml:space="preserve"> за</w:t>
            </w:r>
            <w:r w:rsidRPr="000B3AE5">
              <w:rPr>
                <w:rFonts w:ascii="Times New Roman" w:hAnsi="Times New Roman" w:cs="Times New Roman"/>
                <w:sz w:val="20"/>
                <w:szCs w:val="20"/>
                <w:lang w:val="ru-RU"/>
              </w:rPr>
              <w:t xml:space="preserve"> и обязанность вести </w:t>
            </w:r>
            <w:r>
              <w:rPr>
                <w:rFonts w:ascii="Times New Roman" w:hAnsi="Times New Roman" w:cs="Times New Roman"/>
                <w:sz w:val="20"/>
                <w:szCs w:val="20"/>
                <w:lang w:val="ru-RU"/>
              </w:rPr>
              <w:t>деятельность</w:t>
            </w:r>
            <w:r w:rsidRPr="000B3AE5">
              <w:rPr>
                <w:rFonts w:ascii="Times New Roman" w:hAnsi="Times New Roman" w:cs="Times New Roman"/>
                <w:sz w:val="20"/>
                <w:szCs w:val="20"/>
                <w:lang w:val="ru-RU"/>
              </w:rPr>
              <w:t xml:space="preserve"> Компании в соответствии с законом и деловой этикой. </w:t>
            </w:r>
          </w:p>
        </w:tc>
      </w:tr>
    </w:tbl>
    <w:p w14:paraId="35108B96" w14:textId="77777777" w:rsidR="002F3A0F" w:rsidRPr="00D5597E" w:rsidRDefault="002F3A0F" w:rsidP="002F3A0F">
      <w:pPr>
        <w:spacing w:before="80" w:after="80" w:line="260" w:lineRule="exact"/>
        <w:rPr>
          <w:rFonts w:ascii="Times New Roman" w:hAnsi="Times New Roman" w:cs="Times New Roman"/>
          <w:sz w:val="20"/>
          <w:szCs w:val="20"/>
        </w:rPr>
      </w:pPr>
    </w:p>
    <w:p w14:paraId="388FF168" w14:textId="77777777" w:rsidR="0029747B" w:rsidRPr="002F3A0F" w:rsidRDefault="0029747B" w:rsidP="002F3A0F"/>
    <w:sectPr w:rsidR="0029747B" w:rsidRPr="002F3A0F" w:rsidSect="00843427">
      <w:headerReference w:type="even" r:id="rId8"/>
      <w:headerReference w:type="default" r:id="rId9"/>
      <w:footerReference w:type="default" r:id="rId10"/>
      <w:headerReference w:type="first" r:id="rId11"/>
      <w:pgSz w:w="11906" w:h="16838"/>
      <w:pgMar w:top="567" w:right="567" w:bottom="567"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6104" w14:textId="77777777" w:rsidR="002A634E" w:rsidRDefault="002A634E" w:rsidP="00DA60CA">
      <w:pPr>
        <w:spacing w:after="0" w:line="240" w:lineRule="auto"/>
      </w:pPr>
      <w:r>
        <w:separator/>
      </w:r>
    </w:p>
  </w:endnote>
  <w:endnote w:type="continuationSeparator" w:id="0">
    <w:p w14:paraId="622B34C6" w14:textId="77777777" w:rsidR="002A634E" w:rsidRDefault="002A634E" w:rsidP="00DA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4094" w14:textId="77777777" w:rsidR="00B224C6" w:rsidRPr="000A750B" w:rsidRDefault="005C76A1" w:rsidP="00A33D43">
    <w:pPr>
      <w:pStyle w:val="a7"/>
      <w:jc w:val="center"/>
      <w:rPr>
        <w:rFonts w:ascii="Times New Roman" w:hAnsi="Times New Roman" w:cs="Times New Roman"/>
        <w:b/>
        <w:color w:val="C00000"/>
        <w:sz w:val="18"/>
        <w:szCs w:val="18"/>
      </w:rPr>
    </w:pPr>
    <w:hyperlink r:id="rId1" w:history="1">
      <w:r w:rsidR="00B224C6" w:rsidRPr="000A750B">
        <w:rPr>
          <w:rStyle w:val="a9"/>
          <w:rFonts w:ascii="Times New Roman" w:hAnsi="Times New Roman" w:cs="Times New Roman"/>
          <w:b/>
          <w:color w:val="C00000"/>
          <w:sz w:val="18"/>
          <w:szCs w:val="18"/>
          <w:lang w:val="en-US"/>
        </w:rPr>
        <w:t>http</w:t>
      </w:r>
      <w:r w:rsidR="00B224C6" w:rsidRPr="000A750B">
        <w:rPr>
          <w:rStyle w:val="a9"/>
          <w:rFonts w:ascii="Times New Roman" w:hAnsi="Times New Roman" w:cs="Times New Roman"/>
          <w:b/>
          <w:color w:val="C00000"/>
          <w:sz w:val="18"/>
          <w:szCs w:val="18"/>
        </w:rPr>
        <w:t>://</w:t>
      </w:r>
      <w:r w:rsidR="00B224C6" w:rsidRPr="000A750B">
        <w:rPr>
          <w:rStyle w:val="a9"/>
          <w:rFonts w:ascii="Times New Roman" w:hAnsi="Times New Roman" w:cs="Times New Roman"/>
          <w:b/>
          <w:color w:val="C00000"/>
          <w:sz w:val="18"/>
          <w:szCs w:val="18"/>
          <w:lang w:val="en-US"/>
        </w:rPr>
        <w:t>medfarminfo</w:t>
      </w:r>
      <w:r w:rsidR="00B224C6" w:rsidRPr="000A750B">
        <w:rPr>
          <w:rStyle w:val="a9"/>
          <w:rFonts w:ascii="Times New Roman" w:hAnsi="Times New Roman" w:cs="Times New Roman"/>
          <w:b/>
          <w:color w:val="C00000"/>
          <w:sz w:val="18"/>
          <w:szCs w:val="18"/>
        </w:rPr>
        <w:t>.</w:t>
      </w:r>
      <w:r w:rsidR="00B224C6" w:rsidRPr="000A750B">
        <w:rPr>
          <w:rStyle w:val="a9"/>
          <w:rFonts w:ascii="Times New Roman" w:hAnsi="Times New Roman" w:cs="Times New Roman"/>
          <w:b/>
          <w:color w:val="C00000"/>
          <w:sz w:val="18"/>
          <w:szCs w:val="18"/>
          <w:lang w:val="en-US"/>
        </w:rPr>
        <w:t>com</w:t>
      </w:r>
    </w:hyperlink>
  </w:p>
  <w:p w14:paraId="25850D16" w14:textId="77777777" w:rsidR="00A33D43" w:rsidRPr="00A622E4" w:rsidRDefault="00B224C6" w:rsidP="00A33D43">
    <w:pPr>
      <w:pStyle w:val="a7"/>
      <w:jc w:val="center"/>
      <w:rPr>
        <w:rFonts w:ascii="Times New Roman" w:hAnsi="Times New Roman" w:cs="Times New Roman"/>
        <w:b/>
        <w:color w:val="0070C0"/>
        <w:sz w:val="18"/>
        <w:szCs w:val="18"/>
        <w:lang w:val="en-US"/>
      </w:rPr>
    </w:pPr>
    <w:r w:rsidRPr="00A622E4">
      <w:rPr>
        <w:rFonts w:ascii="Times New Roman" w:hAnsi="Times New Roman" w:cs="Times New Roman"/>
        <w:b/>
        <w:color w:val="0070C0"/>
        <w:sz w:val="18"/>
        <w:szCs w:val="18"/>
        <w:lang w:val="en-US"/>
      </w:rPr>
      <w:t xml:space="preserve">e-mail: </w:t>
    </w:r>
    <w:r w:rsidR="00A33D43" w:rsidRPr="00A622E4">
      <w:rPr>
        <w:rFonts w:ascii="Times New Roman" w:hAnsi="Times New Roman" w:cs="Times New Roman"/>
        <w:b/>
        <w:color w:val="0070C0"/>
        <w:sz w:val="18"/>
        <w:szCs w:val="18"/>
        <w:lang w:val="en-US"/>
      </w:rPr>
      <w:t>medfarminfo.med@yandex.ru</w:t>
    </w:r>
  </w:p>
  <w:p w14:paraId="382B3378" w14:textId="6106DD33" w:rsidR="00A33D43" w:rsidRPr="005A57E0" w:rsidRDefault="00A33D43" w:rsidP="00A33D43">
    <w:pPr>
      <w:pStyle w:val="a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FB47" w14:textId="77777777" w:rsidR="002A634E" w:rsidRDefault="002A634E" w:rsidP="00DA60CA">
      <w:pPr>
        <w:spacing w:after="0" w:line="240" w:lineRule="auto"/>
      </w:pPr>
      <w:r>
        <w:separator/>
      </w:r>
    </w:p>
  </w:footnote>
  <w:footnote w:type="continuationSeparator" w:id="0">
    <w:p w14:paraId="7155D6AE" w14:textId="77777777" w:rsidR="002A634E" w:rsidRDefault="002A634E" w:rsidP="00DA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52CD" w14:textId="77777777" w:rsidR="00DA60CA" w:rsidRDefault="005C76A1">
    <w:pPr>
      <w:pStyle w:val="a5"/>
    </w:pPr>
    <w:r>
      <w:rPr>
        <w:noProof/>
        <w:lang w:eastAsia="ru-RU"/>
      </w:rPr>
      <w:pict w14:anchorId="79D3B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6969" o:spid="_x0000_s2054" type="#_x0000_t75" style="position:absolute;margin-left:0;margin-top:0;width:595.2pt;height:841.9pt;z-index:-251657216;mso-position-horizontal:center;mso-position-horizontal-relative:margin;mso-position-vertical:center;mso-position-vertical-relative:margin" o:allowincell="f">
          <v:imagedata r:id="rId1" o:title="бланк неверные данны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1341" w14:textId="77777777" w:rsidR="00843427" w:rsidRDefault="000A750B" w:rsidP="00843427">
    <w:pPr>
      <w:pStyle w:val="a5"/>
      <w:jc w:val="center"/>
    </w:pPr>
    <w:r>
      <w:rPr>
        <w:noProof/>
        <w:lang w:eastAsia="ru-RU"/>
      </w:rPr>
      <w:drawing>
        <wp:inline distT="0" distB="0" distL="0" distR="0" wp14:anchorId="497E7E5E" wp14:editId="14C2C294">
          <wp:extent cx="1065968" cy="1181100"/>
          <wp:effectExtent l="0" t="0" r="1270" b="0"/>
          <wp:docPr id="2" name="Рисунок 2" descr="C:\Documents and Settings\user\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Безымянный.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219" cy="1180270"/>
                  </a:xfrm>
                  <a:prstGeom prst="rect">
                    <a:avLst/>
                  </a:prstGeom>
                  <a:noFill/>
                  <a:ln>
                    <a:noFill/>
                  </a:ln>
                </pic:spPr>
              </pic:pic>
            </a:graphicData>
          </a:graphic>
        </wp:inline>
      </w:drawing>
    </w:r>
  </w:p>
  <w:p w14:paraId="550A5577" w14:textId="4B16A5BE" w:rsidR="00A33D43" w:rsidRPr="00845BF8" w:rsidRDefault="002F33E0" w:rsidP="00843427">
    <w:pPr>
      <w:pStyle w:val="a5"/>
      <w:jc w:val="center"/>
      <w:rPr>
        <w:rFonts w:ascii="Times New Roman" w:hAnsi="Times New Roman" w:cs="Times New Roman"/>
        <w:b/>
        <w:sz w:val="18"/>
        <w:szCs w:val="18"/>
      </w:rPr>
    </w:pPr>
    <w:r>
      <w:rPr>
        <w:rFonts w:ascii="Times New Roman" w:hAnsi="Times New Roman" w:cs="Times New Roman"/>
        <w:b/>
        <w:sz w:val="18"/>
        <w:szCs w:val="18"/>
      </w:rPr>
      <w:t>ООО «МедФармИнфо», 344010</w:t>
    </w:r>
    <w:r w:rsidR="00A33D43" w:rsidRPr="00845BF8">
      <w:rPr>
        <w:rFonts w:ascii="Times New Roman" w:hAnsi="Times New Roman" w:cs="Times New Roman"/>
        <w:b/>
        <w:sz w:val="18"/>
        <w:szCs w:val="18"/>
      </w:rPr>
      <w:t>, г.</w:t>
    </w:r>
    <w:r w:rsidR="00843427">
      <w:rPr>
        <w:rFonts w:ascii="Times New Roman" w:hAnsi="Times New Roman" w:cs="Times New Roman"/>
        <w:b/>
        <w:sz w:val="18"/>
        <w:szCs w:val="18"/>
      </w:rPr>
      <w:t xml:space="preserve"> Ростов-на-Дону, </w:t>
    </w:r>
  </w:p>
  <w:p w14:paraId="087DA08F" w14:textId="77777777" w:rsidR="00A33D43" w:rsidRPr="00845BF8" w:rsidRDefault="00A33D43" w:rsidP="00843427">
    <w:pPr>
      <w:pStyle w:val="a5"/>
      <w:jc w:val="center"/>
      <w:rPr>
        <w:rFonts w:ascii="Times New Roman" w:hAnsi="Times New Roman" w:cs="Times New Roman"/>
        <w:b/>
        <w:sz w:val="18"/>
        <w:szCs w:val="18"/>
      </w:rPr>
    </w:pPr>
    <w:r w:rsidRPr="00845BF8">
      <w:rPr>
        <w:rFonts w:ascii="Times New Roman" w:hAnsi="Times New Roman" w:cs="Times New Roman"/>
        <w:b/>
        <w:sz w:val="18"/>
        <w:szCs w:val="18"/>
      </w:rPr>
      <w:t>ОГРН 11261</w:t>
    </w:r>
    <w:r w:rsidR="00190999">
      <w:rPr>
        <w:rFonts w:ascii="Times New Roman" w:hAnsi="Times New Roman" w:cs="Times New Roman"/>
        <w:b/>
        <w:sz w:val="18"/>
        <w:szCs w:val="18"/>
      </w:rPr>
      <w:t>64003206 ИНН 6164307056 КПП 6165</w:t>
    </w:r>
    <w:r w:rsidRPr="00845BF8">
      <w:rPr>
        <w:rFonts w:ascii="Times New Roman" w:hAnsi="Times New Roman" w:cs="Times New Roman"/>
        <w:b/>
        <w:sz w:val="18"/>
        <w:szCs w:val="18"/>
      </w:rPr>
      <w:t>01001</w:t>
    </w:r>
  </w:p>
  <w:p w14:paraId="4FB8F4F4" w14:textId="3EE136FA" w:rsidR="00DA60CA" w:rsidRDefault="00DA60CA" w:rsidP="00843427">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0436" w14:textId="77777777" w:rsidR="00DA60CA" w:rsidRDefault="005C76A1">
    <w:pPr>
      <w:pStyle w:val="a5"/>
    </w:pPr>
    <w:r>
      <w:rPr>
        <w:noProof/>
        <w:lang w:eastAsia="ru-RU"/>
      </w:rPr>
      <w:pict w14:anchorId="0EAF6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6968" o:spid="_x0000_s2053" type="#_x0000_t75" style="position:absolute;margin-left:0;margin-top:0;width:595.2pt;height:841.9pt;z-index:-251658240;mso-position-horizontal:center;mso-position-horizontal-relative:margin;mso-position-vertical:center;mso-position-vertical-relative:margin" o:allowincell="f">
          <v:imagedata r:id="rId1" o:title="бланк неверные данные"/>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80AF2"/>
    <w:multiLevelType w:val="hybridMultilevel"/>
    <w:tmpl w:val="143C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A1F8D"/>
    <w:multiLevelType w:val="hybridMultilevel"/>
    <w:tmpl w:val="272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B2A0E"/>
    <w:multiLevelType w:val="hybridMultilevel"/>
    <w:tmpl w:val="4ABE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5A0110"/>
    <w:multiLevelType w:val="hybridMultilevel"/>
    <w:tmpl w:val="64A6A4B8"/>
    <w:lvl w:ilvl="0" w:tplc="D060B3F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7177A"/>
    <w:multiLevelType w:val="hybridMultilevel"/>
    <w:tmpl w:val="715080C0"/>
    <w:lvl w:ilvl="0" w:tplc="0AD62D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915A48"/>
    <w:multiLevelType w:val="hybridMultilevel"/>
    <w:tmpl w:val="824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06408186">
    <w:abstractNumId w:val="3"/>
  </w:num>
  <w:num w:numId="2" w16cid:durableId="1312632534">
    <w:abstractNumId w:val="0"/>
  </w:num>
  <w:num w:numId="3" w16cid:durableId="36440490">
    <w:abstractNumId w:val="1"/>
  </w:num>
  <w:num w:numId="4" w16cid:durableId="1849515115">
    <w:abstractNumId w:val="4"/>
  </w:num>
  <w:num w:numId="5" w16cid:durableId="1293705534">
    <w:abstractNumId w:val="2"/>
  </w:num>
  <w:num w:numId="6" w16cid:durableId="1320815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C8"/>
    <w:rsid w:val="000314E5"/>
    <w:rsid w:val="000557A1"/>
    <w:rsid w:val="00075580"/>
    <w:rsid w:val="00082C09"/>
    <w:rsid w:val="000A750B"/>
    <w:rsid w:val="00190999"/>
    <w:rsid w:val="001D5FC8"/>
    <w:rsid w:val="00210511"/>
    <w:rsid w:val="00220CDC"/>
    <w:rsid w:val="0029747B"/>
    <w:rsid w:val="002A634E"/>
    <w:rsid w:val="002D6F11"/>
    <w:rsid w:val="002F33E0"/>
    <w:rsid w:val="002F3A0F"/>
    <w:rsid w:val="00311586"/>
    <w:rsid w:val="003D05F2"/>
    <w:rsid w:val="004C7D18"/>
    <w:rsid w:val="00593FD9"/>
    <w:rsid w:val="005A17BF"/>
    <w:rsid w:val="005A57E0"/>
    <w:rsid w:val="005C76A1"/>
    <w:rsid w:val="005E5B4A"/>
    <w:rsid w:val="00650434"/>
    <w:rsid w:val="00671CEF"/>
    <w:rsid w:val="006963D2"/>
    <w:rsid w:val="0075432D"/>
    <w:rsid w:val="00843427"/>
    <w:rsid w:val="00845BF8"/>
    <w:rsid w:val="00882A7C"/>
    <w:rsid w:val="008C0629"/>
    <w:rsid w:val="008C465E"/>
    <w:rsid w:val="00994820"/>
    <w:rsid w:val="009C4131"/>
    <w:rsid w:val="00A33D43"/>
    <w:rsid w:val="00A43ECE"/>
    <w:rsid w:val="00A622E4"/>
    <w:rsid w:val="00A62E73"/>
    <w:rsid w:val="00A95FC8"/>
    <w:rsid w:val="00AB193B"/>
    <w:rsid w:val="00B04AEF"/>
    <w:rsid w:val="00B224C6"/>
    <w:rsid w:val="00DA60CA"/>
    <w:rsid w:val="00E66348"/>
    <w:rsid w:val="00E954D8"/>
    <w:rsid w:val="00F7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C4139B"/>
  <w15:docId w15:val="{0E3DA6EA-B089-45C9-B99E-52AAF550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0CA"/>
    <w:rPr>
      <w:rFonts w:ascii="Tahoma" w:hAnsi="Tahoma" w:cs="Tahoma"/>
      <w:sz w:val="16"/>
      <w:szCs w:val="16"/>
    </w:rPr>
  </w:style>
  <w:style w:type="paragraph" w:styleId="a5">
    <w:name w:val="header"/>
    <w:basedOn w:val="a"/>
    <w:link w:val="a6"/>
    <w:uiPriority w:val="99"/>
    <w:unhideWhenUsed/>
    <w:rsid w:val="00DA60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60CA"/>
  </w:style>
  <w:style w:type="paragraph" w:styleId="a7">
    <w:name w:val="footer"/>
    <w:basedOn w:val="a"/>
    <w:link w:val="a8"/>
    <w:uiPriority w:val="99"/>
    <w:unhideWhenUsed/>
    <w:rsid w:val="00DA60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60CA"/>
  </w:style>
  <w:style w:type="character" w:styleId="a9">
    <w:name w:val="Hyperlink"/>
    <w:basedOn w:val="a0"/>
    <w:uiPriority w:val="99"/>
    <w:unhideWhenUsed/>
    <w:rsid w:val="00A33D43"/>
    <w:rPr>
      <w:color w:val="0000FF" w:themeColor="hyperlink"/>
      <w:u w:val="single"/>
    </w:rPr>
  </w:style>
  <w:style w:type="table" w:styleId="aa">
    <w:name w:val="Table Grid"/>
    <w:basedOn w:val="a1"/>
    <w:uiPriority w:val="59"/>
    <w:rsid w:val="002F3A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F3A0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medfarminf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A787-DCB7-4257-BAEC-3632AEF6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Зая(Бука)</dc:creator>
  <cp:keywords/>
  <dc:description/>
  <cp:lastModifiedBy>123</cp:lastModifiedBy>
  <cp:revision>4</cp:revision>
  <cp:lastPrinted>2022-08-29T07:20:00Z</cp:lastPrinted>
  <dcterms:created xsi:type="dcterms:W3CDTF">2020-07-09T08:15:00Z</dcterms:created>
  <dcterms:modified xsi:type="dcterms:W3CDTF">2022-08-29T07:20:00Z</dcterms:modified>
</cp:coreProperties>
</file>